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76" w:type="pct"/>
        <w:jc w:val="center"/>
        <w:tblCellSpacing w:w="7" w:type="dxa"/>
        <w:tblCellMar>
          <w:left w:w="0" w:type="dxa"/>
          <w:right w:w="0" w:type="dxa"/>
        </w:tblCellMar>
        <w:tblLook w:val="04A0" w:firstRow="1" w:lastRow="0" w:firstColumn="1" w:lastColumn="0" w:noHBand="0" w:noVBand="1"/>
      </w:tblPr>
      <w:tblGrid>
        <w:gridCol w:w="8931"/>
      </w:tblGrid>
      <w:tr w:rsidR="00BB5271" w:rsidRPr="00BB5271" w:rsidTr="00BB5271">
        <w:trPr>
          <w:trHeight w:val="1120"/>
          <w:tblCellSpacing w:w="7" w:type="dxa"/>
          <w:jc w:val="center"/>
        </w:trPr>
        <w:tc>
          <w:tcPr>
            <w:tcW w:w="4984" w:type="pct"/>
            <w:tcBorders>
              <w:bottom w:val="single" w:sz="6" w:space="0" w:color="EDEDED"/>
            </w:tcBorders>
            <w:vAlign w:val="center"/>
            <w:hideMark/>
          </w:tcPr>
          <w:p w:rsidR="00BB5271" w:rsidRPr="00BB5271" w:rsidRDefault="00BB5271" w:rsidP="00BB5271">
            <w:pPr>
              <w:widowControl/>
              <w:spacing w:line="360" w:lineRule="auto"/>
              <w:jc w:val="center"/>
              <w:rPr>
                <w:rFonts w:ascii="宋体" w:eastAsia="宋体" w:hAnsi="宋体" w:cs="宋体"/>
                <w:b/>
                <w:bCs/>
                <w:color w:val="3D3D3D"/>
                <w:kern w:val="0"/>
                <w:sz w:val="33"/>
                <w:szCs w:val="33"/>
              </w:rPr>
            </w:pPr>
            <w:r w:rsidRPr="00BB5271">
              <w:rPr>
                <w:rFonts w:ascii="宋体" w:eastAsia="宋体" w:hAnsi="宋体" w:cs="宋体" w:hint="eastAsia"/>
                <w:b/>
                <w:bCs/>
                <w:color w:val="3D3D3D"/>
                <w:kern w:val="0"/>
                <w:sz w:val="33"/>
                <w:szCs w:val="33"/>
              </w:rPr>
              <w:t>天津市地方税务局 中国人民银行天津分行关于将我市自然人有关涉税信息纳入人民银行征信系统的公告</w:t>
            </w:r>
          </w:p>
        </w:tc>
      </w:tr>
      <w:tr w:rsidR="00BB5271" w:rsidRPr="00BB5271" w:rsidTr="00BB5271">
        <w:trPr>
          <w:trHeight w:val="465"/>
          <w:tblCellSpacing w:w="7" w:type="dxa"/>
          <w:jc w:val="center"/>
        </w:trPr>
        <w:tc>
          <w:tcPr>
            <w:tcW w:w="4984" w:type="pct"/>
            <w:vAlign w:val="center"/>
            <w:hideMark/>
          </w:tcPr>
          <w:p w:rsidR="00BB5271" w:rsidRPr="00BB5271" w:rsidRDefault="00BB5271" w:rsidP="00BB5271">
            <w:pPr>
              <w:widowControl/>
              <w:spacing w:line="330" w:lineRule="atLeast"/>
              <w:jc w:val="center"/>
              <w:rPr>
                <w:rFonts w:ascii="宋体" w:eastAsia="宋体" w:hAnsi="宋体" w:cs="宋体" w:hint="eastAsia"/>
                <w:color w:val="3D3D3D"/>
                <w:kern w:val="0"/>
                <w:sz w:val="18"/>
                <w:szCs w:val="18"/>
              </w:rPr>
            </w:pPr>
          </w:p>
        </w:tc>
      </w:tr>
      <w:tr w:rsidR="00BB5271" w:rsidRPr="00BB5271" w:rsidTr="00BB5271">
        <w:trPr>
          <w:trHeight w:val="73"/>
          <w:tblCellSpacing w:w="7" w:type="dxa"/>
          <w:jc w:val="center"/>
        </w:trPr>
        <w:tc>
          <w:tcPr>
            <w:tcW w:w="4984" w:type="pct"/>
            <w:vAlign w:val="center"/>
            <w:hideMark/>
          </w:tcPr>
          <w:p w:rsidR="00BB5271" w:rsidRPr="00BB5271" w:rsidRDefault="00BB5271" w:rsidP="00BB5271">
            <w:pPr>
              <w:widowControl/>
              <w:spacing w:line="330" w:lineRule="atLeast"/>
              <w:rPr>
                <w:rFonts w:ascii="宋体" w:eastAsia="宋体" w:hAnsi="宋体" w:cs="宋体" w:hint="eastAsia"/>
                <w:color w:val="3D3D3D"/>
                <w:kern w:val="0"/>
                <w:sz w:val="18"/>
                <w:szCs w:val="18"/>
              </w:rPr>
            </w:pPr>
          </w:p>
        </w:tc>
      </w:tr>
      <w:tr w:rsidR="00BB5271" w:rsidRPr="00BB5271" w:rsidTr="00BB5271">
        <w:trPr>
          <w:tblCellSpacing w:w="7" w:type="dxa"/>
          <w:jc w:val="center"/>
        </w:trPr>
        <w:tc>
          <w:tcPr>
            <w:tcW w:w="4984" w:type="pct"/>
            <w:vAlign w:val="center"/>
            <w:hideMark/>
          </w:tcPr>
          <w:p w:rsidR="00BB5271" w:rsidRPr="00BB5271" w:rsidRDefault="00BB5271" w:rsidP="00BB5271">
            <w:pPr>
              <w:widowControl/>
              <w:spacing w:before="100" w:beforeAutospacing="1" w:after="100" w:afterAutospacing="1" w:line="390" w:lineRule="atLeast"/>
              <w:ind w:firstLine="480"/>
              <w:jc w:val="center"/>
              <w:rPr>
                <w:rFonts w:ascii="宋体" w:eastAsia="宋体" w:hAnsi="宋体" w:cs="宋体"/>
                <w:color w:val="3D3D3D"/>
                <w:kern w:val="0"/>
                <w:szCs w:val="21"/>
              </w:rPr>
            </w:pPr>
            <w:r w:rsidRPr="00BB5271">
              <w:rPr>
                <w:rFonts w:ascii="宋体" w:eastAsia="宋体" w:hAnsi="宋体" w:cs="宋体" w:hint="eastAsia"/>
                <w:color w:val="3D3D3D"/>
                <w:kern w:val="0"/>
                <w:szCs w:val="21"/>
              </w:rPr>
              <w:t>2015年第14号</w:t>
            </w:r>
          </w:p>
          <w:p w:rsidR="00BB5271" w:rsidRPr="00BB5271" w:rsidRDefault="00BB5271" w:rsidP="00BB5271">
            <w:pPr>
              <w:widowControl/>
              <w:spacing w:before="100" w:beforeAutospacing="1" w:after="100" w:afterAutospacing="1" w:line="390" w:lineRule="atLeast"/>
              <w:ind w:firstLine="480"/>
              <w:jc w:val="left"/>
              <w:rPr>
                <w:rFonts w:ascii="宋体" w:eastAsia="宋体" w:hAnsi="宋体" w:cs="宋体" w:hint="eastAsia"/>
                <w:color w:val="3D3D3D"/>
                <w:kern w:val="0"/>
                <w:szCs w:val="21"/>
              </w:rPr>
            </w:pPr>
            <w:r w:rsidRPr="00BB5271">
              <w:rPr>
                <w:rFonts w:ascii="宋体" w:eastAsia="宋体" w:hAnsi="宋体" w:cs="宋体" w:hint="eastAsia"/>
                <w:color w:val="3D3D3D"/>
                <w:kern w:val="0"/>
                <w:szCs w:val="21"/>
              </w:rPr>
              <w:t>为加大对税务领域失信行为的惩戒力度，增强纳税人依法纳税意识，推动社会信用体系建设，根据《中华人民共和国税收征收管理法》及其实施细则，按照《征信业管理条例》（国务院令2013第631号）和《天津市社会信用体系建设规划（2014-2020年）》(津政发〔2015〕15号)精神，天津市地方税务局、中国人民银行天津分行决定将我市自然人未依法履行纳税义务的有关涉税信息纳入个人金融信用信息基础数据库（以下简称个人征信系统）。现将有关事项公告如下：</w:t>
            </w:r>
          </w:p>
          <w:p w:rsidR="00BB5271" w:rsidRPr="00BB5271" w:rsidRDefault="00BB5271" w:rsidP="00BB5271">
            <w:pPr>
              <w:widowControl/>
              <w:spacing w:before="100" w:beforeAutospacing="1" w:after="100" w:afterAutospacing="1" w:line="390" w:lineRule="atLeast"/>
              <w:ind w:firstLine="480"/>
              <w:jc w:val="left"/>
              <w:rPr>
                <w:rFonts w:ascii="宋体" w:eastAsia="宋体" w:hAnsi="宋体" w:cs="宋体" w:hint="eastAsia"/>
                <w:color w:val="3D3D3D"/>
                <w:kern w:val="0"/>
                <w:szCs w:val="21"/>
              </w:rPr>
            </w:pPr>
            <w:r w:rsidRPr="00BB5271">
              <w:rPr>
                <w:rFonts w:ascii="宋体" w:eastAsia="宋体" w:hAnsi="宋体" w:cs="宋体" w:hint="eastAsia"/>
                <w:color w:val="3D3D3D"/>
                <w:kern w:val="0"/>
                <w:szCs w:val="21"/>
              </w:rPr>
              <w:t>一、年所得12万元以上，从中国境内两处或两处以上取得工资、薪金所得，取得股权转让所得等依法在我市具有纳税申报义务而未在法定期限内履行纳税申报义务的自然人，经主管税务机关责令限期改正，逾期仍未改正的，其欠缴税款信息及税务机关依法给予行政处罚信息纳入个人征信系统。</w:t>
            </w:r>
          </w:p>
          <w:p w:rsidR="00BB5271" w:rsidRPr="00BB5271" w:rsidRDefault="00BB5271" w:rsidP="00BB5271">
            <w:pPr>
              <w:widowControl/>
              <w:spacing w:before="100" w:beforeAutospacing="1" w:after="100" w:afterAutospacing="1" w:line="390" w:lineRule="atLeast"/>
              <w:ind w:firstLine="480"/>
              <w:jc w:val="left"/>
              <w:rPr>
                <w:rFonts w:ascii="宋体" w:eastAsia="宋体" w:hAnsi="宋体" w:cs="宋体" w:hint="eastAsia"/>
                <w:color w:val="3D3D3D"/>
                <w:kern w:val="0"/>
                <w:szCs w:val="21"/>
              </w:rPr>
            </w:pPr>
            <w:r w:rsidRPr="00BB5271">
              <w:rPr>
                <w:rFonts w:ascii="宋体" w:eastAsia="宋体" w:hAnsi="宋体" w:cs="宋体" w:hint="eastAsia"/>
                <w:color w:val="3D3D3D"/>
                <w:kern w:val="0"/>
                <w:szCs w:val="21"/>
              </w:rPr>
              <w:t>二、自然人认为本人在个人征信系统中的欠缴税款信息及所受税务机关行政处罚信息不准确的，可向当地中国人民银行天津分行征信部门提出异议申请，提请主管税务机关进行复核。复核确认确实不准确的，由主管税务机关将复核情况报送中国人民银行天津分行，提请及时修改相关信息。</w:t>
            </w:r>
          </w:p>
          <w:p w:rsidR="00BB5271" w:rsidRPr="00BB5271" w:rsidRDefault="00BB5271" w:rsidP="00BB5271">
            <w:pPr>
              <w:widowControl/>
              <w:spacing w:before="100" w:beforeAutospacing="1" w:after="100" w:afterAutospacing="1" w:line="390" w:lineRule="atLeast"/>
              <w:ind w:firstLine="480"/>
              <w:jc w:val="left"/>
              <w:rPr>
                <w:rFonts w:ascii="宋体" w:eastAsia="宋体" w:hAnsi="宋体" w:cs="宋体" w:hint="eastAsia"/>
                <w:color w:val="3D3D3D"/>
                <w:kern w:val="0"/>
                <w:szCs w:val="21"/>
              </w:rPr>
            </w:pPr>
            <w:r w:rsidRPr="00BB5271">
              <w:rPr>
                <w:rFonts w:ascii="宋体" w:eastAsia="宋体" w:hAnsi="宋体" w:cs="宋体" w:hint="eastAsia"/>
                <w:color w:val="3D3D3D"/>
                <w:kern w:val="0"/>
                <w:szCs w:val="21"/>
              </w:rPr>
              <w:t>三、中国人民银行与金融机构共享相关涉税信息。对不同纳税信用级别自然人，金融机构在办理贷款、信用卡等金融业务时，依据风险管理要求实行差异化对待。</w:t>
            </w:r>
          </w:p>
          <w:p w:rsidR="00BB5271" w:rsidRPr="00BB5271" w:rsidRDefault="00BB5271" w:rsidP="00BB5271">
            <w:pPr>
              <w:widowControl/>
              <w:spacing w:before="100" w:beforeAutospacing="1" w:after="100" w:afterAutospacing="1" w:line="390" w:lineRule="atLeast"/>
              <w:ind w:firstLine="480"/>
              <w:jc w:val="left"/>
              <w:rPr>
                <w:rFonts w:ascii="宋体" w:eastAsia="宋体" w:hAnsi="宋体" w:cs="宋体" w:hint="eastAsia"/>
                <w:color w:val="3D3D3D"/>
                <w:kern w:val="0"/>
                <w:szCs w:val="21"/>
              </w:rPr>
            </w:pPr>
            <w:r w:rsidRPr="00BB5271">
              <w:rPr>
                <w:rFonts w:ascii="宋体" w:eastAsia="宋体" w:hAnsi="宋体" w:cs="宋体" w:hint="eastAsia"/>
                <w:color w:val="3D3D3D"/>
                <w:kern w:val="0"/>
                <w:szCs w:val="21"/>
              </w:rPr>
              <w:t>四、本公告自2015年12月1日起施行。</w:t>
            </w:r>
          </w:p>
          <w:p w:rsidR="00BB5271" w:rsidRPr="00BB5271" w:rsidRDefault="00BB5271" w:rsidP="00BB5271">
            <w:pPr>
              <w:widowControl/>
              <w:spacing w:before="100" w:beforeAutospacing="1" w:after="100" w:afterAutospacing="1" w:line="390" w:lineRule="atLeast"/>
              <w:ind w:firstLine="480"/>
              <w:jc w:val="left"/>
              <w:rPr>
                <w:rFonts w:ascii="宋体" w:eastAsia="宋体" w:hAnsi="宋体" w:cs="宋体" w:hint="eastAsia"/>
                <w:color w:val="3D3D3D"/>
                <w:kern w:val="0"/>
                <w:szCs w:val="21"/>
              </w:rPr>
            </w:pPr>
            <w:r w:rsidRPr="00BB5271">
              <w:rPr>
                <w:rFonts w:ascii="宋体" w:eastAsia="宋体" w:hAnsi="宋体" w:cs="宋体" w:hint="eastAsia"/>
                <w:color w:val="3D3D3D"/>
                <w:kern w:val="0"/>
                <w:szCs w:val="21"/>
              </w:rPr>
              <w:t>特此公告。</w:t>
            </w:r>
          </w:p>
          <w:p w:rsidR="00BB5271" w:rsidRPr="00BB5271" w:rsidRDefault="00BB5271" w:rsidP="00BB5271">
            <w:pPr>
              <w:widowControl/>
              <w:spacing w:before="100" w:beforeAutospacing="1" w:after="100" w:afterAutospacing="1" w:line="390" w:lineRule="atLeast"/>
              <w:ind w:firstLine="480"/>
              <w:jc w:val="left"/>
              <w:rPr>
                <w:rFonts w:ascii="宋体" w:eastAsia="宋体" w:hAnsi="宋体" w:cs="宋体" w:hint="eastAsia"/>
                <w:color w:val="3D3D3D"/>
                <w:kern w:val="0"/>
                <w:szCs w:val="21"/>
              </w:rPr>
            </w:pPr>
            <w:r w:rsidRPr="00BB5271">
              <w:rPr>
                <w:rFonts w:ascii="宋体" w:eastAsia="宋体" w:hAnsi="宋体" w:cs="宋体" w:hint="eastAsia"/>
                <w:color w:val="3D3D3D"/>
                <w:kern w:val="0"/>
                <w:szCs w:val="21"/>
              </w:rPr>
              <w:t> </w:t>
            </w:r>
          </w:p>
          <w:p w:rsidR="00BB5271" w:rsidRPr="00BB5271" w:rsidRDefault="00BB5271" w:rsidP="00BB5271">
            <w:pPr>
              <w:widowControl/>
              <w:spacing w:before="100" w:beforeAutospacing="1" w:after="100" w:afterAutospacing="1" w:line="390" w:lineRule="atLeast"/>
              <w:ind w:firstLine="480"/>
              <w:jc w:val="right"/>
              <w:rPr>
                <w:rFonts w:ascii="宋体" w:eastAsia="宋体" w:hAnsi="宋体" w:cs="宋体" w:hint="eastAsia"/>
                <w:color w:val="3D3D3D"/>
                <w:kern w:val="0"/>
                <w:szCs w:val="21"/>
              </w:rPr>
            </w:pPr>
            <w:r w:rsidRPr="00BB5271">
              <w:rPr>
                <w:rFonts w:ascii="宋体" w:eastAsia="宋体" w:hAnsi="宋体" w:cs="宋体" w:hint="eastAsia"/>
                <w:color w:val="3D3D3D"/>
                <w:kern w:val="0"/>
                <w:szCs w:val="21"/>
              </w:rPr>
              <w:t>天津市地方税务局</w:t>
            </w:r>
            <w:r>
              <w:rPr>
                <w:rFonts w:ascii="宋体" w:eastAsia="宋体" w:hAnsi="宋体" w:cs="宋体" w:hint="eastAsia"/>
                <w:color w:val="3D3D3D"/>
                <w:kern w:val="0"/>
                <w:szCs w:val="21"/>
              </w:rPr>
              <w:t xml:space="preserve">  </w:t>
            </w:r>
            <w:r w:rsidRPr="00BB5271">
              <w:rPr>
                <w:rFonts w:ascii="宋体" w:eastAsia="宋体" w:hAnsi="宋体" w:cs="宋体" w:hint="eastAsia"/>
                <w:color w:val="3D3D3D"/>
                <w:kern w:val="0"/>
                <w:szCs w:val="21"/>
              </w:rPr>
              <w:t>中国人民银行天津分行</w:t>
            </w:r>
          </w:p>
          <w:p w:rsidR="00BB5271" w:rsidRPr="00BB5271" w:rsidRDefault="00BB5271" w:rsidP="00BB5271">
            <w:pPr>
              <w:widowControl/>
              <w:spacing w:before="100" w:beforeAutospacing="1" w:after="100" w:afterAutospacing="1" w:line="390" w:lineRule="atLeast"/>
              <w:ind w:firstLine="480"/>
              <w:jc w:val="right"/>
              <w:rPr>
                <w:rFonts w:ascii="宋体" w:eastAsia="宋体" w:hAnsi="宋体" w:cs="宋体" w:hint="eastAsia"/>
                <w:color w:val="3D3D3D"/>
                <w:kern w:val="0"/>
                <w:szCs w:val="21"/>
              </w:rPr>
            </w:pPr>
            <w:r>
              <w:rPr>
                <w:rFonts w:ascii="宋体" w:eastAsia="宋体" w:hAnsi="宋体" w:cs="宋体" w:hint="eastAsia"/>
                <w:color w:val="3D3D3D"/>
                <w:kern w:val="0"/>
                <w:szCs w:val="21"/>
              </w:rPr>
              <w:t>                     </w:t>
            </w:r>
            <w:bookmarkStart w:id="0" w:name="_GoBack"/>
            <w:bookmarkEnd w:id="0"/>
            <w:r w:rsidRPr="00BB5271">
              <w:rPr>
                <w:rFonts w:ascii="宋体" w:eastAsia="宋体" w:hAnsi="宋体" w:cs="宋体" w:hint="eastAsia"/>
                <w:color w:val="3D3D3D"/>
                <w:kern w:val="0"/>
                <w:szCs w:val="21"/>
              </w:rPr>
              <w:t>2015年11月23日</w:t>
            </w:r>
          </w:p>
        </w:tc>
      </w:tr>
    </w:tbl>
    <w:p w:rsidR="006F6486" w:rsidRDefault="00BB5271"/>
    <w:sectPr w:rsidR="006F64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271" w:rsidRDefault="00BB5271" w:rsidP="00BB5271">
      <w:r>
        <w:separator/>
      </w:r>
    </w:p>
  </w:endnote>
  <w:endnote w:type="continuationSeparator" w:id="0">
    <w:p w:rsidR="00BB5271" w:rsidRDefault="00BB5271" w:rsidP="00BB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271" w:rsidRDefault="00BB5271" w:rsidP="00BB5271">
      <w:r>
        <w:separator/>
      </w:r>
    </w:p>
  </w:footnote>
  <w:footnote w:type="continuationSeparator" w:id="0">
    <w:p w:rsidR="00BB5271" w:rsidRDefault="00BB5271" w:rsidP="00BB5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F7"/>
    <w:rsid w:val="005158F7"/>
    <w:rsid w:val="007E22E1"/>
    <w:rsid w:val="00AB17DF"/>
    <w:rsid w:val="00BB5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78D495C-8E8B-4786-AF4A-9FD65EA6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52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5271"/>
    <w:rPr>
      <w:sz w:val="18"/>
      <w:szCs w:val="18"/>
    </w:rPr>
  </w:style>
  <w:style w:type="paragraph" w:styleId="a4">
    <w:name w:val="footer"/>
    <w:basedOn w:val="a"/>
    <w:link w:val="Char0"/>
    <w:uiPriority w:val="99"/>
    <w:unhideWhenUsed/>
    <w:rsid w:val="00BB5271"/>
    <w:pPr>
      <w:tabs>
        <w:tab w:val="center" w:pos="4153"/>
        <w:tab w:val="right" w:pos="8306"/>
      </w:tabs>
      <w:snapToGrid w:val="0"/>
      <w:jc w:val="left"/>
    </w:pPr>
    <w:rPr>
      <w:sz w:val="18"/>
      <w:szCs w:val="18"/>
    </w:rPr>
  </w:style>
  <w:style w:type="character" w:customStyle="1" w:styleId="Char0">
    <w:name w:val="页脚 Char"/>
    <w:basedOn w:val="a0"/>
    <w:link w:val="a4"/>
    <w:uiPriority w:val="99"/>
    <w:rsid w:val="00BB52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kyk</dc:creator>
  <cp:keywords/>
  <dc:description/>
  <cp:lastModifiedBy>kyk</cp:lastModifiedBy>
  <cp:revision>2</cp:revision>
  <dcterms:created xsi:type="dcterms:W3CDTF">2017-03-08T05:04:00Z</dcterms:created>
  <dcterms:modified xsi:type="dcterms:W3CDTF">2017-03-08T05:06:00Z</dcterms:modified>
</cp:coreProperties>
</file>